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C1" w:rsidRDefault="00584FC1" w:rsidP="00584FC1">
      <w:pPr>
        <w:spacing w:after="0" w:line="276" w:lineRule="auto"/>
        <w:ind w:left="-567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7838D7">
        <w:rPr>
          <w:noProof/>
          <w:lang w:eastAsia="el-GR"/>
        </w:rPr>
        <w:drawing>
          <wp:inline distT="0" distB="0" distL="0" distR="0" wp14:anchorId="051E8C8D" wp14:editId="0002B340">
            <wp:extent cx="990600" cy="98107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4FC1" w:rsidRPr="00584FC1" w:rsidRDefault="00584FC1" w:rsidP="00584FC1">
      <w:pPr>
        <w:spacing w:after="0" w:line="276" w:lineRule="auto"/>
        <w:ind w:left="-567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84FC1">
        <w:rPr>
          <w:rFonts w:eastAsia="Times New Roman" w:cstheme="minorHAnsi"/>
          <w:b/>
          <w:bCs/>
          <w:sz w:val="24"/>
          <w:szCs w:val="24"/>
          <w:lang w:eastAsia="el-GR"/>
        </w:rPr>
        <w:t>ΥΠΟΥΡΓΕΙΟ ΑΝΑΠΤΥΞΗΣ</w:t>
      </w:r>
    </w:p>
    <w:p w:rsidR="00584FC1" w:rsidRPr="00584FC1" w:rsidRDefault="00584FC1" w:rsidP="00584FC1">
      <w:pPr>
        <w:spacing w:after="0" w:line="276" w:lineRule="auto"/>
        <w:ind w:left="-567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84F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ΓΕΝΙΚΗ ΓΡΑΜΜΑΤΕΙΑ ΒΙΟΜΗΧΑΝΙΑΣ </w:t>
      </w:r>
    </w:p>
    <w:p w:rsidR="00584FC1" w:rsidRPr="00584FC1" w:rsidRDefault="00584FC1" w:rsidP="00584FC1">
      <w:pPr>
        <w:spacing w:after="0" w:line="276" w:lineRule="auto"/>
        <w:ind w:left="-567"/>
        <w:rPr>
          <w:rFonts w:eastAsia="Times New Roman" w:cstheme="minorHAnsi"/>
          <w:b/>
          <w:bCs/>
          <w:sz w:val="24"/>
          <w:szCs w:val="24"/>
        </w:rPr>
      </w:pPr>
      <w:r w:rsidRPr="00584FC1">
        <w:rPr>
          <w:rFonts w:eastAsia="Times New Roman" w:cstheme="minorHAnsi"/>
          <w:b/>
          <w:bCs/>
          <w:sz w:val="24"/>
          <w:szCs w:val="24"/>
        </w:rPr>
        <w:t>ΓΕΝΙΚΗ ΔΙΕΥΘΥΝΣΗ ΒΙΟΜΗΧΑΝΙΚΩΝ ΥΠΟΔΟΜΩΝ</w:t>
      </w:r>
    </w:p>
    <w:p w:rsidR="00584FC1" w:rsidRPr="00584FC1" w:rsidRDefault="00584FC1" w:rsidP="00584FC1">
      <w:pPr>
        <w:spacing w:after="0" w:line="276" w:lineRule="auto"/>
        <w:ind w:left="-567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84FC1">
        <w:rPr>
          <w:rFonts w:eastAsia="Times New Roman" w:cstheme="minorHAnsi"/>
          <w:b/>
          <w:bCs/>
          <w:sz w:val="24"/>
          <w:szCs w:val="24"/>
          <w:lang w:eastAsia="el-GR"/>
        </w:rPr>
        <w:t>&amp; ΕΠΙΧΕΙΡΗΜΑΤΙΚΟΥ ΠΕΡΙΒΑΛΛΟΝΤΟΣ</w:t>
      </w:r>
    </w:p>
    <w:p w:rsidR="00584FC1" w:rsidRPr="00584FC1" w:rsidRDefault="00584FC1" w:rsidP="00584FC1">
      <w:pPr>
        <w:spacing w:after="0" w:line="276" w:lineRule="auto"/>
        <w:ind w:left="-567"/>
        <w:rPr>
          <w:rFonts w:eastAsia="Times New Roman" w:cstheme="minorHAnsi"/>
          <w:b/>
          <w:bCs/>
          <w:sz w:val="24"/>
          <w:szCs w:val="24"/>
        </w:rPr>
      </w:pPr>
      <w:r w:rsidRPr="00584FC1">
        <w:rPr>
          <w:rFonts w:eastAsia="Times New Roman" w:cstheme="minorHAnsi"/>
          <w:b/>
          <w:bCs/>
          <w:sz w:val="24"/>
          <w:szCs w:val="24"/>
        </w:rPr>
        <w:t>ΔΙΕΥΘΥΝΣΗ ΑΣΦΑΛΕΙΑΣ &amp; ΣΥΜΜΟΡΦΩΣΗΣ</w:t>
      </w:r>
    </w:p>
    <w:p w:rsidR="00584FC1" w:rsidRPr="00584FC1" w:rsidRDefault="00584FC1" w:rsidP="00584FC1">
      <w:pPr>
        <w:spacing w:after="0" w:line="276" w:lineRule="auto"/>
        <w:ind w:left="-567"/>
        <w:rPr>
          <w:rFonts w:eastAsia="Times New Roman" w:cstheme="minorHAnsi"/>
          <w:b/>
          <w:bCs/>
          <w:sz w:val="24"/>
          <w:szCs w:val="24"/>
        </w:rPr>
      </w:pPr>
      <w:r w:rsidRPr="00584FC1">
        <w:rPr>
          <w:rFonts w:eastAsia="Times New Roman" w:cstheme="minorHAnsi"/>
          <w:b/>
          <w:bCs/>
          <w:sz w:val="24"/>
          <w:szCs w:val="24"/>
        </w:rPr>
        <w:t>ΒΙΟΜΗΧΑΝΙΚΩΝ ΠΡΟΙΟΝΤΩΝ</w:t>
      </w:r>
    </w:p>
    <w:p w:rsidR="00584FC1" w:rsidRPr="00584FC1" w:rsidRDefault="00584FC1" w:rsidP="00584FC1">
      <w:pPr>
        <w:spacing w:after="0" w:line="276" w:lineRule="auto"/>
        <w:ind w:left="-567" w:right="-766"/>
        <w:rPr>
          <w:rFonts w:ascii="Arial" w:eastAsia="Verdana,Bold" w:hAnsi="Arial" w:cs="Arial"/>
          <w:b/>
          <w:u w:val="single"/>
        </w:rPr>
      </w:pP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  <w:r w:rsidRPr="00584FC1">
        <w:rPr>
          <w:rFonts w:ascii="Arial" w:eastAsia="Verdana,Bold" w:hAnsi="Arial" w:cs="Arial"/>
          <w:b/>
          <w:u w:val="single"/>
        </w:rPr>
        <w:tab/>
      </w:r>
    </w:p>
    <w:p w:rsidR="00584FC1" w:rsidRPr="00584FC1" w:rsidRDefault="00584FC1" w:rsidP="00584FC1">
      <w:pPr>
        <w:spacing w:after="0" w:line="276" w:lineRule="auto"/>
        <w:rPr>
          <w:rFonts w:eastAsia="Verdana,Bold" w:cstheme="minorHAnsi"/>
          <w:b/>
          <w:u w:val="single"/>
        </w:rPr>
      </w:pPr>
    </w:p>
    <w:p w:rsidR="00584FC1" w:rsidRDefault="00B41C4F" w:rsidP="00584FC1">
      <w:pPr>
        <w:spacing w:after="0" w:line="276" w:lineRule="auto"/>
        <w:jc w:val="center"/>
        <w:rPr>
          <w:rFonts w:eastAsia="Verdana,Bold" w:cstheme="minorHAnsi"/>
          <w:b/>
          <w:sz w:val="24"/>
          <w:szCs w:val="24"/>
        </w:rPr>
      </w:pPr>
      <w:sdt>
        <w:sdtPr>
          <w:rPr>
            <w:rFonts w:eastAsia="Times New Roman" w:cstheme="minorHAnsi"/>
            <w:lang w:val="en-US"/>
          </w:rPr>
          <w:id w:val="159972523"/>
        </w:sdtPr>
        <w:sdtEndPr/>
        <w:sdtContent/>
      </w:sdt>
      <w:sdt>
        <w:sdtPr>
          <w:rPr>
            <w:rFonts w:eastAsia="Times New Roman" w:cstheme="minorHAnsi"/>
            <w:lang w:val="en-US"/>
          </w:rPr>
          <w:id w:val="-1933419543"/>
        </w:sdtPr>
        <w:sdtEndPr/>
        <w:sdtContent/>
      </w:sdt>
      <w:sdt>
        <w:sdtPr>
          <w:rPr>
            <w:rFonts w:eastAsia="Times New Roman" w:cstheme="minorHAnsi"/>
            <w:lang w:val="en-US"/>
          </w:rPr>
          <w:id w:val="1363470016"/>
          <w:showingPlcHdr/>
        </w:sdtPr>
        <w:sdtEndPr/>
        <w:sdtContent>
          <w:r w:rsidR="00584FC1" w:rsidRPr="00584FC1">
            <w:rPr>
              <w:rFonts w:eastAsia="Times New Roman" w:cstheme="minorHAnsi"/>
            </w:rPr>
            <w:t xml:space="preserve">     </w:t>
          </w:r>
        </w:sdtContent>
      </w:sdt>
      <w:r w:rsidR="00584FC1" w:rsidRPr="00900185">
        <w:rPr>
          <w:rFonts w:eastAsia="Verdana,Bold" w:cstheme="minorHAnsi"/>
          <w:b/>
          <w:sz w:val="24"/>
          <w:szCs w:val="24"/>
        </w:rPr>
        <w:t>Δ</w:t>
      </w:r>
      <w:r w:rsidR="00900185">
        <w:rPr>
          <w:rFonts w:eastAsia="Verdana,Bold" w:cstheme="minorHAnsi"/>
          <w:b/>
          <w:sz w:val="24"/>
          <w:szCs w:val="24"/>
        </w:rPr>
        <w:t xml:space="preserve"> </w:t>
      </w:r>
      <w:r w:rsidR="00584FC1" w:rsidRPr="00900185">
        <w:rPr>
          <w:rFonts w:eastAsia="Verdana,Bold" w:cstheme="minorHAnsi"/>
          <w:b/>
          <w:sz w:val="24"/>
          <w:szCs w:val="24"/>
        </w:rPr>
        <w:t>Ε</w:t>
      </w:r>
      <w:r w:rsidR="00900185">
        <w:rPr>
          <w:rFonts w:eastAsia="Verdana,Bold" w:cstheme="minorHAnsi"/>
          <w:b/>
          <w:sz w:val="24"/>
          <w:szCs w:val="24"/>
        </w:rPr>
        <w:t xml:space="preserve"> </w:t>
      </w:r>
      <w:r w:rsidR="00584FC1" w:rsidRPr="00900185">
        <w:rPr>
          <w:rFonts w:eastAsia="Verdana,Bold" w:cstheme="minorHAnsi"/>
          <w:b/>
          <w:sz w:val="24"/>
          <w:szCs w:val="24"/>
        </w:rPr>
        <w:t>Λ</w:t>
      </w:r>
      <w:r w:rsidR="00900185">
        <w:rPr>
          <w:rFonts w:eastAsia="Verdana,Bold" w:cstheme="minorHAnsi"/>
          <w:b/>
          <w:sz w:val="24"/>
          <w:szCs w:val="24"/>
        </w:rPr>
        <w:t xml:space="preserve"> Τ </w:t>
      </w:r>
      <w:r w:rsidR="00584FC1" w:rsidRPr="00900185">
        <w:rPr>
          <w:rFonts w:eastAsia="Verdana,Bold" w:cstheme="minorHAnsi"/>
          <w:b/>
          <w:sz w:val="24"/>
          <w:szCs w:val="24"/>
        </w:rPr>
        <w:t>Ι</w:t>
      </w:r>
      <w:r w:rsidR="00900185">
        <w:rPr>
          <w:rFonts w:eastAsia="Verdana,Bold" w:cstheme="minorHAnsi"/>
          <w:b/>
          <w:sz w:val="24"/>
          <w:szCs w:val="24"/>
        </w:rPr>
        <w:t xml:space="preserve"> </w:t>
      </w:r>
      <w:r w:rsidR="00584FC1" w:rsidRPr="00900185">
        <w:rPr>
          <w:rFonts w:eastAsia="Verdana,Bold" w:cstheme="minorHAnsi"/>
          <w:b/>
          <w:sz w:val="24"/>
          <w:szCs w:val="24"/>
        </w:rPr>
        <w:t>Ο</w:t>
      </w:r>
      <w:r w:rsidR="00900185">
        <w:rPr>
          <w:rFonts w:eastAsia="Verdana,Bold" w:cstheme="minorHAnsi"/>
          <w:b/>
          <w:sz w:val="24"/>
          <w:szCs w:val="24"/>
        </w:rPr>
        <w:t xml:space="preserve">  </w:t>
      </w:r>
      <w:r w:rsidR="00584FC1" w:rsidRPr="00900185">
        <w:rPr>
          <w:rFonts w:eastAsia="Verdana,Bold" w:cstheme="minorHAnsi"/>
          <w:b/>
          <w:sz w:val="24"/>
          <w:szCs w:val="24"/>
        </w:rPr>
        <w:t xml:space="preserve"> </w:t>
      </w:r>
      <w:r w:rsidR="00900185">
        <w:rPr>
          <w:rFonts w:eastAsia="Verdana,Bold" w:cstheme="minorHAnsi"/>
          <w:b/>
          <w:sz w:val="24"/>
          <w:szCs w:val="24"/>
        </w:rPr>
        <w:t xml:space="preserve">Τ </w:t>
      </w:r>
      <w:r w:rsidR="00584FC1" w:rsidRPr="00900185">
        <w:rPr>
          <w:rFonts w:eastAsia="Verdana,Bold" w:cstheme="minorHAnsi"/>
          <w:b/>
          <w:sz w:val="24"/>
          <w:szCs w:val="24"/>
        </w:rPr>
        <w:t>Υ</w:t>
      </w:r>
      <w:r w:rsidR="00900185">
        <w:rPr>
          <w:rFonts w:eastAsia="Verdana,Bold" w:cstheme="minorHAnsi"/>
          <w:b/>
          <w:sz w:val="24"/>
          <w:szCs w:val="24"/>
        </w:rPr>
        <w:t xml:space="preserve"> </w:t>
      </w:r>
      <w:r w:rsidR="00584FC1" w:rsidRPr="00900185">
        <w:rPr>
          <w:rFonts w:eastAsia="Verdana,Bold" w:cstheme="minorHAnsi"/>
          <w:b/>
          <w:sz w:val="24"/>
          <w:szCs w:val="24"/>
        </w:rPr>
        <w:t>Π</w:t>
      </w:r>
      <w:r w:rsidR="00900185">
        <w:rPr>
          <w:rFonts w:eastAsia="Verdana,Bold" w:cstheme="minorHAnsi"/>
          <w:b/>
          <w:sz w:val="24"/>
          <w:szCs w:val="24"/>
        </w:rPr>
        <w:t xml:space="preserve"> </w:t>
      </w:r>
      <w:r w:rsidR="00584FC1" w:rsidRPr="00900185">
        <w:rPr>
          <w:rFonts w:eastAsia="Verdana,Bold" w:cstheme="minorHAnsi"/>
          <w:b/>
          <w:sz w:val="24"/>
          <w:szCs w:val="24"/>
        </w:rPr>
        <w:t>Ο</w:t>
      </w:r>
      <w:r w:rsidR="00900185">
        <w:rPr>
          <w:rFonts w:eastAsia="Verdana,Bold" w:cstheme="minorHAnsi"/>
          <w:b/>
          <w:sz w:val="24"/>
          <w:szCs w:val="24"/>
        </w:rPr>
        <w:t xml:space="preserve"> </w:t>
      </w:r>
      <w:r w:rsidR="00584FC1" w:rsidRPr="00900185">
        <w:rPr>
          <w:rFonts w:eastAsia="Verdana,Bold" w:cstheme="minorHAnsi"/>
          <w:b/>
          <w:sz w:val="24"/>
          <w:szCs w:val="24"/>
        </w:rPr>
        <w:t>Υ</w:t>
      </w:r>
    </w:p>
    <w:p w:rsidR="00DD5332" w:rsidRPr="00584FC1" w:rsidRDefault="00DD5332" w:rsidP="00584FC1">
      <w:pPr>
        <w:spacing w:after="0" w:line="276" w:lineRule="auto"/>
        <w:jc w:val="center"/>
        <w:rPr>
          <w:rFonts w:eastAsia="Verdana,Bold" w:cstheme="minorHAnsi"/>
          <w:b/>
        </w:rPr>
      </w:pPr>
    </w:p>
    <w:p w:rsidR="00584FC1" w:rsidRPr="00584FC1" w:rsidRDefault="00584FC1" w:rsidP="00584FC1">
      <w:pPr>
        <w:ind w:hanging="567"/>
        <w:jc w:val="both"/>
        <w:rPr>
          <w:rFonts w:cstheme="minorHAnsi"/>
          <w:b/>
          <w:bCs/>
        </w:rPr>
      </w:pPr>
      <w:r w:rsidRPr="00584FC1">
        <w:rPr>
          <w:rFonts w:eastAsia="Verdana" w:cstheme="minorHAnsi"/>
        </w:rPr>
        <w:t xml:space="preserve">Ημερομηνία: </w:t>
      </w:r>
      <w:r w:rsidR="0006689F">
        <w:rPr>
          <w:rFonts w:eastAsia="Verdana" w:cstheme="minorHAnsi"/>
        </w:rPr>
        <w:t>01</w:t>
      </w:r>
      <w:r w:rsidRPr="00584FC1">
        <w:rPr>
          <w:rFonts w:eastAsia="Verdana" w:cstheme="minorHAnsi"/>
        </w:rPr>
        <w:t>/</w:t>
      </w:r>
      <w:r w:rsidR="00CF4FD2">
        <w:rPr>
          <w:rFonts w:eastAsia="Verdana" w:cstheme="minorHAnsi"/>
        </w:rPr>
        <w:t>04/2026</w:t>
      </w:r>
    </w:p>
    <w:p w:rsidR="00584FC1" w:rsidRPr="00584FC1" w:rsidRDefault="00584FC1" w:rsidP="00FB7B43">
      <w:pPr>
        <w:jc w:val="both"/>
        <w:rPr>
          <w:rFonts w:cstheme="minorHAnsi"/>
          <w:b/>
          <w:bCs/>
        </w:rPr>
      </w:pPr>
    </w:p>
    <w:p w:rsidR="00CF4FD2" w:rsidRPr="00CF4FD2" w:rsidRDefault="007E19FE" w:rsidP="00CF4FD2">
      <w:pPr>
        <w:ind w:left="-567"/>
        <w:jc w:val="both"/>
        <w:rPr>
          <w:rFonts w:cstheme="minorHAnsi"/>
          <w:b/>
          <w:bCs/>
        </w:rPr>
      </w:pPr>
      <w:r w:rsidRPr="00584FC1">
        <w:rPr>
          <w:rFonts w:cstheme="minorHAnsi"/>
          <w:b/>
          <w:bCs/>
        </w:rPr>
        <w:t>Θέμα:</w:t>
      </w:r>
      <w:r w:rsidR="00CF4FD2">
        <w:rPr>
          <w:rFonts w:cstheme="minorHAnsi"/>
          <w:b/>
          <w:bCs/>
        </w:rPr>
        <w:t xml:space="preserve"> </w:t>
      </w:r>
      <w:r w:rsidR="00CF4FD2" w:rsidRPr="00CF4FD2">
        <w:rPr>
          <w:rFonts w:cstheme="minorHAnsi"/>
          <w:b/>
          <w:bCs/>
        </w:rPr>
        <w:t xml:space="preserve">Οδηγίες για τη νόμιμη </w:t>
      </w:r>
      <w:r w:rsidR="008054EC">
        <w:rPr>
          <w:rFonts w:cstheme="minorHAnsi"/>
          <w:b/>
          <w:bCs/>
        </w:rPr>
        <w:t>διάθεση</w:t>
      </w:r>
      <w:r w:rsidR="00CF4FD2" w:rsidRPr="00CF4FD2">
        <w:rPr>
          <w:rFonts w:cstheme="minorHAnsi"/>
          <w:b/>
          <w:bCs/>
        </w:rPr>
        <w:t xml:space="preserve"> </w:t>
      </w:r>
      <w:r w:rsidR="008B3502">
        <w:rPr>
          <w:rFonts w:cstheme="minorHAnsi"/>
          <w:b/>
          <w:bCs/>
        </w:rPr>
        <w:t xml:space="preserve">και ασφαλή χρήση </w:t>
      </w:r>
      <w:r w:rsidR="00CF4FD2">
        <w:rPr>
          <w:rFonts w:cstheme="minorHAnsi"/>
          <w:b/>
          <w:bCs/>
        </w:rPr>
        <w:t xml:space="preserve">ειδών πυροτεχνίας </w:t>
      </w:r>
      <w:r w:rsidR="00CF4FD2" w:rsidRPr="00CF4FD2">
        <w:rPr>
          <w:rFonts w:cstheme="minorHAnsi"/>
          <w:b/>
          <w:bCs/>
        </w:rPr>
        <w:t>κατά την εορταστική περίοδο του Πάσχα</w:t>
      </w:r>
    </w:p>
    <w:p w:rsidR="00CF4FD2" w:rsidRPr="00CF4FD2" w:rsidRDefault="00CF4FD2" w:rsidP="00CF4FD2">
      <w:pPr>
        <w:ind w:left="-567"/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 xml:space="preserve">Ενόψει των εορτών του Πάσχα, </w:t>
      </w:r>
      <w:r w:rsidR="000C6E22" w:rsidRPr="00CF4FD2">
        <w:rPr>
          <w:rFonts w:cstheme="minorHAnsi"/>
          <w:bCs/>
        </w:rPr>
        <w:t xml:space="preserve">η Γενική Γραμματεία Βιομηχανίας </w:t>
      </w:r>
      <w:r w:rsidRPr="00CF4FD2">
        <w:rPr>
          <w:rFonts w:cstheme="minorHAnsi"/>
          <w:bCs/>
        </w:rPr>
        <w:t>το</w:t>
      </w:r>
      <w:r w:rsidR="000C6E22">
        <w:rPr>
          <w:rFonts w:cstheme="minorHAnsi"/>
          <w:bCs/>
        </w:rPr>
        <w:t>υ</w:t>
      </w:r>
      <w:r w:rsidRPr="00CF4FD2">
        <w:rPr>
          <w:rFonts w:cstheme="minorHAnsi"/>
          <w:bCs/>
        </w:rPr>
        <w:t xml:space="preserve"> Υπουργείο</w:t>
      </w:r>
      <w:r w:rsidR="000C6E22">
        <w:rPr>
          <w:rFonts w:cstheme="minorHAnsi"/>
          <w:bCs/>
        </w:rPr>
        <w:t>υ</w:t>
      </w:r>
      <w:r w:rsidRPr="00CF4FD2">
        <w:rPr>
          <w:rFonts w:cstheme="minorHAnsi"/>
          <w:bCs/>
        </w:rPr>
        <w:t xml:space="preserve"> Ανάπτυξης ενημερών</w:t>
      </w:r>
      <w:r w:rsidR="008054EC">
        <w:rPr>
          <w:rFonts w:cstheme="minorHAnsi"/>
          <w:bCs/>
        </w:rPr>
        <w:t>ει</w:t>
      </w:r>
      <w:r w:rsidRPr="00CF4FD2">
        <w:rPr>
          <w:rFonts w:cstheme="minorHAnsi"/>
          <w:bCs/>
        </w:rPr>
        <w:t xml:space="preserve"> το καταναλωτικό κοινό για τους κανόνες που διέπουν τη</w:t>
      </w:r>
      <w:r w:rsidR="001F02A5">
        <w:rPr>
          <w:rFonts w:cstheme="minorHAnsi"/>
          <w:bCs/>
        </w:rPr>
        <w:t xml:space="preserve"> </w:t>
      </w:r>
      <w:r w:rsidR="008B3502">
        <w:rPr>
          <w:rFonts w:cstheme="minorHAnsi"/>
          <w:bCs/>
        </w:rPr>
        <w:t>νόμιμη διάθεση και ασφαλή</w:t>
      </w:r>
      <w:r w:rsidR="001F02A5">
        <w:rPr>
          <w:rFonts w:cstheme="minorHAnsi"/>
          <w:bCs/>
        </w:rPr>
        <w:t xml:space="preserve"> </w:t>
      </w:r>
      <w:r w:rsidRPr="00CF4FD2">
        <w:rPr>
          <w:rFonts w:cstheme="minorHAnsi"/>
          <w:bCs/>
        </w:rPr>
        <w:t xml:space="preserve">χρήση των ειδών πυροτεχνίας, με στόχο την </w:t>
      </w:r>
      <w:r w:rsidR="00C14A3E">
        <w:rPr>
          <w:rFonts w:cstheme="minorHAnsi"/>
          <w:bCs/>
        </w:rPr>
        <w:t>πρόληψη</w:t>
      </w:r>
      <w:r w:rsidR="00F9663C">
        <w:rPr>
          <w:rFonts w:cstheme="minorHAnsi"/>
          <w:bCs/>
        </w:rPr>
        <w:t xml:space="preserve"> ατυχημάτων</w:t>
      </w:r>
      <w:r w:rsidRPr="00CF4FD2">
        <w:rPr>
          <w:rFonts w:cstheme="minorHAnsi"/>
          <w:bCs/>
        </w:rPr>
        <w:t>.</w:t>
      </w:r>
    </w:p>
    <w:p w:rsidR="00CF4FD2" w:rsidRPr="00CF4FD2" w:rsidRDefault="0016325E" w:rsidP="00CF4FD2">
      <w:pPr>
        <w:ind w:left="-567"/>
        <w:jc w:val="both"/>
        <w:rPr>
          <w:rFonts w:cstheme="minorHAnsi"/>
          <w:bCs/>
        </w:rPr>
      </w:pPr>
      <w:r>
        <w:rPr>
          <w:rFonts w:cstheme="minorHAnsi"/>
          <w:bCs/>
        </w:rPr>
        <w:t>Για την ασφάλεια των χρηστών – καταναλωτών,</w:t>
      </w:r>
      <w:r w:rsidR="00CF4FD2" w:rsidRPr="00CF4F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γίνονται γνωστά </w:t>
      </w:r>
      <w:r w:rsidR="00CF4FD2" w:rsidRPr="00CF4FD2">
        <w:rPr>
          <w:rFonts w:cstheme="minorHAnsi"/>
          <w:bCs/>
        </w:rPr>
        <w:t>τα εξής:</w:t>
      </w:r>
    </w:p>
    <w:p w:rsidR="001F02A5" w:rsidRDefault="00CF4FD2" w:rsidP="0039222A">
      <w:pPr>
        <w:pStyle w:val="a3"/>
        <w:numPr>
          <w:ilvl w:val="0"/>
          <w:numId w:val="10"/>
        </w:numPr>
        <w:jc w:val="both"/>
        <w:rPr>
          <w:rFonts w:cstheme="minorHAnsi"/>
          <w:bCs/>
        </w:rPr>
      </w:pPr>
      <w:r w:rsidRPr="001F02A5">
        <w:rPr>
          <w:rFonts w:cstheme="minorHAnsi"/>
          <w:bCs/>
        </w:rPr>
        <w:t>Επιτρέπ</w:t>
      </w:r>
      <w:r w:rsidR="001F02A5" w:rsidRPr="001F02A5">
        <w:rPr>
          <w:rFonts w:cstheme="minorHAnsi"/>
          <w:bCs/>
        </w:rPr>
        <w:t xml:space="preserve">εται μόνο η </w:t>
      </w:r>
      <w:r w:rsidR="007C4325">
        <w:rPr>
          <w:rFonts w:cstheme="minorHAnsi"/>
          <w:bCs/>
        </w:rPr>
        <w:t>διάθεση στην αγορά</w:t>
      </w:r>
      <w:r w:rsidR="001F02A5" w:rsidRPr="001F02A5">
        <w:rPr>
          <w:rFonts w:cstheme="minorHAnsi"/>
          <w:bCs/>
        </w:rPr>
        <w:t xml:space="preserve"> ειδών πυροτεχνίας, τα οποία φέρουν </w:t>
      </w:r>
      <w:r w:rsidRPr="001F02A5">
        <w:rPr>
          <w:rFonts w:cstheme="minorHAnsi"/>
          <w:bCs/>
        </w:rPr>
        <w:t xml:space="preserve">τη σήμανση </w:t>
      </w:r>
      <w:r w:rsidRPr="0039222A">
        <w:rPr>
          <w:rFonts w:cstheme="minorHAnsi"/>
          <w:bCs/>
        </w:rPr>
        <w:t>CE.</w:t>
      </w:r>
    </w:p>
    <w:p w:rsidR="00295894" w:rsidRPr="0039222A" w:rsidRDefault="00295894" w:rsidP="00295894">
      <w:pPr>
        <w:pStyle w:val="a3"/>
        <w:ind w:left="-207"/>
        <w:jc w:val="both"/>
        <w:rPr>
          <w:rFonts w:cstheme="minorHAnsi"/>
          <w:bCs/>
        </w:rPr>
      </w:pPr>
    </w:p>
    <w:p w:rsidR="00CF4FD2" w:rsidRPr="00CF4FD2" w:rsidRDefault="001F02A5" w:rsidP="007D3460">
      <w:pPr>
        <w:pStyle w:val="a3"/>
        <w:numPr>
          <w:ilvl w:val="0"/>
          <w:numId w:val="10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Ιδιαίτερη προσοχή πρέπει να δίνεται στα υποχρεωτικά αναγραφόμενα στοιχεία επί της συσκευασίας του είδους πυροτεχνίας, τα οποία είναι</w:t>
      </w:r>
      <w:r w:rsidR="00CF4FD2" w:rsidRPr="00CF4FD2">
        <w:rPr>
          <w:rFonts w:cstheme="minorHAnsi"/>
          <w:bCs/>
        </w:rPr>
        <w:t>:</w:t>
      </w:r>
    </w:p>
    <w:p w:rsidR="001F02A5" w:rsidRDefault="00711316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Πληροφορίες – στοιχεία του κατασκευαστή</w:t>
      </w:r>
      <w:r w:rsidR="0016325E">
        <w:rPr>
          <w:rFonts w:cstheme="minorHAnsi"/>
          <w:bCs/>
        </w:rPr>
        <w:t>.</w:t>
      </w:r>
    </w:p>
    <w:p w:rsidR="00CF4FD2" w:rsidRPr="00CF4FD2" w:rsidRDefault="00711316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Η</w:t>
      </w:r>
      <w:r w:rsidR="00CF4FD2" w:rsidRPr="00CF4FD2">
        <w:rPr>
          <w:rFonts w:cstheme="minorHAnsi"/>
          <w:bCs/>
        </w:rPr>
        <w:t xml:space="preserve"> σήμανση CE.</w:t>
      </w:r>
    </w:p>
    <w:p w:rsidR="00CF4FD2" w:rsidRPr="00CF4FD2" w:rsidRDefault="00711316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Η</w:t>
      </w:r>
      <w:r w:rsidR="00CF4FD2" w:rsidRPr="00CF4FD2">
        <w:rPr>
          <w:rFonts w:cstheme="minorHAnsi"/>
          <w:bCs/>
        </w:rPr>
        <w:t xml:space="preserve"> κατηγορία του (π.χ. F1, F2, F3).</w:t>
      </w:r>
    </w:p>
    <w:p w:rsidR="00CF4FD2" w:rsidRPr="00CF4FD2" w:rsidRDefault="00711316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Οι </w:t>
      </w:r>
      <w:r w:rsidR="00CF4FD2" w:rsidRPr="00CF4FD2">
        <w:rPr>
          <w:rFonts w:cstheme="minorHAnsi"/>
          <w:bCs/>
        </w:rPr>
        <w:t xml:space="preserve"> οδηγίες χρήσης</w:t>
      </w:r>
      <w:r>
        <w:rPr>
          <w:rFonts w:cstheme="minorHAnsi"/>
          <w:bCs/>
        </w:rPr>
        <w:t xml:space="preserve"> – πληροφορίες ασφαλείας στ</w:t>
      </w:r>
      <w:r w:rsidR="00CF4FD2" w:rsidRPr="00CF4FD2">
        <w:rPr>
          <w:rFonts w:cstheme="minorHAnsi"/>
          <w:bCs/>
        </w:rPr>
        <w:t>α Ελληνικά.</w:t>
      </w:r>
    </w:p>
    <w:p w:rsidR="00CF4FD2" w:rsidRPr="00CF4FD2" w:rsidRDefault="00CF4FD2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>Τ</w:t>
      </w:r>
      <w:r w:rsidR="00DD5332">
        <w:rPr>
          <w:rFonts w:cstheme="minorHAnsi"/>
          <w:bCs/>
        </w:rPr>
        <w:t>α όρια ηλικίας για τη χρήση του.</w:t>
      </w:r>
    </w:p>
    <w:p w:rsidR="00CF4FD2" w:rsidRDefault="00DD5332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Η</w:t>
      </w:r>
      <w:r w:rsidR="00CF4FD2" w:rsidRPr="00CF4F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ελάχιστη </w:t>
      </w:r>
      <w:r w:rsidR="00CF4FD2" w:rsidRPr="00CF4FD2">
        <w:rPr>
          <w:rFonts w:cstheme="minorHAnsi"/>
          <w:bCs/>
        </w:rPr>
        <w:t>απόσταση ασφαλείας που πρέπει να τηρείται.</w:t>
      </w:r>
    </w:p>
    <w:p w:rsidR="007D3460" w:rsidRDefault="007D3460" w:rsidP="007D3460">
      <w:pPr>
        <w:numPr>
          <w:ilvl w:val="0"/>
          <w:numId w:val="7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Η συνολική περιεχόμενη εκρηκτική ύλη (</w:t>
      </w:r>
      <w:r>
        <w:rPr>
          <w:rFonts w:cstheme="minorHAnsi"/>
          <w:bCs/>
          <w:lang w:val="en-US"/>
        </w:rPr>
        <w:t>NEC</w:t>
      </w:r>
      <w:r w:rsidRPr="007D3460">
        <w:rPr>
          <w:rFonts w:cstheme="minorHAnsi"/>
          <w:bCs/>
        </w:rPr>
        <w:t>).</w:t>
      </w:r>
    </w:p>
    <w:p w:rsidR="00295894" w:rsidRPr="007D3460" w:rsidRDefault="00295894" w:rsidP="00295894">
      <w:pPr>
        <w:spacing w:line="240" w:lineRule="auto"/>
        <w:ind w:left="720"/>
        <w:jc w:val="both"/>
        <w:rPr>
          <w:rFonts w:cstheme="minorHAnsi"/>
          <w:bCs/>
        </w:rPr>
      </w:pPr>
    </w:p>
    <w:p w:rsidR="00CF4FD2" w:rsidRPr="00DD5332" w:rsidRDefault="00CF4FD2" w:rsidP="00DD5332">
      <w:pPr>
        <w:pStyle w:val="a3"/>
        <w:numPr>
          <w:ilvl w:val="0"/>
          <w:numId w:val="10"/>
        </w:numPr>
        <w:jc w:val="both"/>
        <w:rPr>
          <w:rFonts w:cstheme="minorHAnsi"/>
          <w:bCs/>
        </w:rPr>
      </w:pPr>
      <w:r w:rsidRPr="00DD5332">
        <w:rPr>
          <w:rFonts w:cstheme="minorHAnsi"/>
          <w:bCs/>
        </w:rPr>
        <w:t xml:space="preserve"> Επιτρεπόμενα όρια ηλικίας ανά κατηγορία</w:t>
      </w:r>
      <w:r w:rsidR="00DD5332">
        <w:rPr>
          <w:rFonts w:cstheme="minorHAnsi"/>
          <w:bCs/>
        </w:rPr>
        <w:t xml:space="preserve"> είδους πυροτεχνίας.</w:t>
      </w:r>
      <w:r w:rsidRPr="00DD5332">
        <w:rPr>
          <w:rFonts w:cstheme="minorHAnsi"/>
          <w:bCs/>
        </w:rPr>
        <w:t xml:space="preserve"> </w:t>
      </w:r>
    </w:p>
    <w:p w:rsidR="00CF4FD2" w:rsidRPr="00CF4FD2" w:rsidRDefault="00CF4FD2" w:rsidP="00CF4FD2">
      <w:pPr>
        <w:numPr>
          <w:ilvl w:val="0"/>
          <w:numId w:val="8"/>
        </w:numPr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>Κατηγορία F1 (πολύ χαμηλός κίνδυνος): Επιτρέπεται σε άτομα άνω των 14 ετών (πάντα υπό την εποπτεία ενηλίκου).</w:t>
      </w:r>
    </w:p>
    <w:p w:rsidR="0016325E" w:rsidRDefault="00CF4FD2" w:rsidP="007D3460">
      <w:pPr>
        <w:numPr>
          <w:ilvl w:val="0"/>
          <w:numId w:val="8"/>
        </w:numPr>
        <w:jc w:val="both"/>
        <w:rPr>
          <w:rFonts w:cstheme="minorHAnsi"/>
          <w:bCs/>
        </w:rPr>
      </w:pPr>
      <w:r w:rsidRPr="0016325E">
        <w:rPr>
          <w:rFonts w:cstheme="minorHAnsi"/>
          <w:bCs/>
        </w:rPr>
        <w:lastRenderedPageBreak/>
        <w:t>Κατηγορία F2 (χαμηλός κίνδυνος): Επιτρέπεται μόνο σε άτομα άνω των 18 ετών</w:t>
      </w:r>
      <w:r w:rsidR="00D15C10">
        <w:rPr>
          <w:rFonts w:cstheme="minorHAnsi"/>
          <w:bCs/>
        </w:rPr>
        <w:t>.</w:t>
      </w:r>
      <w:r w:rsidRPr="0016325E">
        <w:rPr>
          <w:rFonts w:cstheme="minorHAnsi"/>
          <w:bCs/>
        </w:rPr>
        <w:t xml:space="preserve"> </w:t>
      </w:r>
    </w:p>
    <w:p w:rsidR="00CF4FD2" w:rsidRDefault="00CF4FD2" w:rsidP="007D3460">
      <w:pPr>
        <w:numPr>
          <w:ilvl w:val="0"/>
          <w:numId w:val="8"/>
        </w:numPr>
        <w:jc w:val="both"/>
        <w:rPr>
          <w:rFonts w:cstheme="minorHAnsi"/>
          <w:bCs/>
        </w:rPr>
      </w:pPr>
      <w:r w:rsidRPr="0016325E">
        <w:rPr>
          <w:rFonts w:cstheme="minorHAnsi"/>
          <w:bCs/>
        </w:rPr>
        <w:t>Κατηγορία F3 (μέτριος κίνδυνος): Επιτρέπεται μόνο σε άτομα άνω των 18 ετών</w:t>
      </w:r>
      <w:r w:rsidR="00D15C10">
        <w:rPr>
          <w:rFonts w:cstheme="minorHAnsi"/>
          <w:bCs/>
        </w:rPr>
        <w:t>.</w:t>
      </w:r>
      <w:r w:rsidRPr="0016325E">
        <w:rPr>
          <w:rFonts w:cstheme="minorHAnsi"/>
          <w:bCs/>
        </w:rPr>
        <w:t xml:space="preserve"> </w:t>
      </w:r>
    </w:p>
    <w:p w:rsidR="00286E62" w:rsidRPr="0016325E" w:rsidRDefault="00286E62" w:rsidP="007D3460">
      <w:pPr>
        <w:numPr>
          <w:ilvl w:val="0"/>
          <w:numId w:val="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Κατηγορία </w:t>
      </w:r>
      <w:r>
        <w:rPr>
          <w:rFonts w:cstheme="minorHAnsi"/>
          <w:bCs/>
          <w:lang w:val="en-US"/>
        </w:rPr>
        <w:t>F</w:t>
      </w:r>
      <w:r w:rsidRPr="00286E62">
        <w:rPr>
          <w:rFonts w:cstheme="minorHAnsi"/>
          <w:bCs/>
        </w:rPr>
        <w:t>4 (</w:t>
      </w:r>
      <w:r>
        <w:rPr>
          <w:rFonts w:cstheme="minorHAnsi"/>
          <w:bCs/>
        </w:rPr>
        <w:t>υψηλός κίνδυνος – επαγ</w:t>
      </w:r>
      <w:r w:rsidR="0039222A">
        <w:rPr>
          <w:rFonts w:cstheme="minorHAnsi"/>
          <w:bCs/>
        </w:rPr>
        <w:t>γ</w:t>
      </w:r>
      <w:r>
        <w:rPr>
          <w:rFonts w:cstheme="minorHAnsi"/>
          <w:bCs/>
        </w:rPr>
        <w:t>ελματική χρήση): Επιτρέπεται με ειδική άδεια της Ελληνικής Αστυνομίας</w:t>
      </w:r>
      <w:r w:rsidR="00D15C10">
        <w:rPr>
          <w:rFonts w:cstheme="minorHAnsi"/>
          <w:bCs/>
        </w:rPr>
        <w:t>.</w:t>
      </w:r>
      <w:r>
        <w:rPr>
          <w:rFonts w:cstheme="minorHAnsi"/>
          <w:bCs/>
        </w:rPr>
        <w:t xml:space="preserve">  </w:t>
      </w:r>
    </w:p>
    <w:p w:rsidR="00CF4FD2" w:rsidRPr="00CF4FD2" w:rsidRDefault="0076294F" w:rsidP="00CF4FD2">
      <w:pPr>
        <w:ind w:left="-567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4</w:t>
      </w:r>
      <w:r w:rsidR="00CF4FD2" w:rsidRPr="00DD5332">
        <w:rPr>
          <w:rFonts w:cstheme="minorHAnsi"/>
          <w:b/>
          <w:bCs/>
        </w:rPr>
        <w:t>.</w:t>
      </w:r>
      <w:r w:rsidR="00CF4FD2" w:rsidRPr="00CF4FD2">
        <w:rPr>
          <w:rFonts w:cstheme="minorHAnsi"/>
          <w:bCs/>
        </w:rPr>
        <w:t xml:space="preserve"> Βασικές Οδηγίες Ασφαλείας</w:t>
      </w:r>
    </w:p>
    <w:p w:rsidR="00CF4FD2" w:rsidRPr="00CF4FD2" w:rsidRDefault="00CF4FD2" w:rsidP="00CF4FD2">
      <w:pPr>
        <w:numPr>
          <w:ilvl w:val="0"/>
          <w:numId w:val="9"/>
        </w:numPr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>Διαβάζετε πάντα προσεκτικά τις οδηγίες χρήσης πριν από την πυροδότηση.</w:t>
      </w:r>
    </w:p>
    <w:p w:rsidR="00CF4FD2" w:rsidRPr="00CF4FD2" w:rsidRDefault="00CF4FD2" w:rsidP="00CF4FD2">
      <w:pPr>
        <w:numPr>
          <w:ilvl w:val="0"/>
          <w:numId w:val="9"/>
        </w:numPr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>Μην προσπαθείτε ποτέ να κατασκευάσετε αυτοσχέδια πυροτεχνήματα ή να τροποποιήσετε τα υπάρχοντα.</w:t>
      </w:r>
    </w:p>
    <w:p w:rsidR="00CF4FD2" w:rsidRPr="00CF4FD2" w:rsidRDefault="00CF4FD2" w:rsidP="00CF4FD2">
      <w:pPr>
        <w:numPr>
          <w:ilvl w:val="0"/>
          <w:numId w:val="9"/>
        </w:numPr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>Σε περίπτωση που εντοπίσετε παράνομα προϊόντα (κροτίδες</w:t>
      </w:r>
      <w:r w:rsidR="00B05264">
        <w:rPr>
          <w:rFonts w:cstheme="minorHAnsi"/>
          <w:bCs/>
        </w:rPr>
        <w:t xml:space="preserve"> και είδη πυροτεχνίας που έχουν συμπεριφορά κροτίδας</w:t>
      </w:r>
      <w:r w:rsidR="00B05264" w:rsidRPr="00B05264">
        <w:rPr>
          <w:rFonts w:cstheme="minorHAnsi"/>
          <w:bCs/>
        </w:rPr>
        <w:t xml:space="preserve">, </w:t>
      </w:r>
      <w:r w:rsidR="00B05264">
        <w:rPr>
          <w:rFonts w:cstheme="minorHAnsi"/>
          <w:bCs/>
        </w:rPr>
        <w:t xml:space="preserve">όπως </w:t>
      </w:r>
      <w:proofErr w:type="spellStart"/>
      <w:r w:rsidR="00B05264" w:rsidRPr="00B05264">
        <w:rPr>
          <w:rFonts w:cstheme="minorHAnsi"/>
          <w:bCs/>
        </w:rPr>
        <w:t>bangers</w:t>
      </w:r>
      <w:proofErr w:type="spellEnd"/>
      <w:r w:rsidR="00B05264" w:rsidRPr="00B05264">
        <w:rPr>
          <w:rFonts w:cstheme="minorHAnsi"/>
          <w:bCs/>
        </w:rPr>
        <w:t xml:space="preserve">, </w:t>
      </w:r>
      <w:r w:rsidR="00B05264">
        <w:rPr>
          <w:rFonts w:cstheme="minorHAnsi"/>
          <w:bCs/>
          <w:lang w:val="en-US"/>
        </w:rPr>
        <w:t>double</w:t>
      </w:r>
      <w:r w:rsidR="00B05264" w:rsidRPr="00B05264">
        <w:rPr>
          <w:rFonts w:cstheme="minorHAnsi"/>
          <w:bCs/>
        </w:rPr>
        <w:t xml:space="preserve"> </w:t>
      </w:r>
      <w:r w:rsidR="00B05264">
        <w:rPr>
          <w:rFonts w:cstheme="minorHAnsi"/>
          <w:bCs/>
          <w:lang w:val="en-US"/>
        </w:rPr>
        <w:t>bangers</w:t>
      </w:r>
      <w:r w:rsidR="00B05264" w:rsidRPr="00B05264">
        <w:rPr>
          <w:rFonts w:cstheme="minorHAnsi"/>
          <w:bCs/>
        </w:rPr>
        <w:t xml:space="preserve">, flash </w:t>
      </w:r>
      <w:proofErr w:type="spellStart"/>
      <w:r w:rsidR="00B05264" w:rsidRPr="00B05264">
        <w:rPr>
          <w:rFonts w:cstheme="minorHAnsi"/>
          <w:bCs/>
        </w:rPr>
        <w:t>bangers</w:t>
      </w:r>
      <w:proofErr w:type="spellEnd"/>
      <w:r w:rsidR="00B05264">
        <w:rPr>
          <w:rFonts w:cstheme="minorHAnsi"/>
          <w:bCs/>
        </w:rPr>
        <w:t xml:space="preserve">, </w:t>
      </w:r>
      <w:r w:rsidR="00B05264">
        <w:rPr>
          <w:rFonts w:cstheme="minorHAnsi"/>
          <w:bCs/>
          <w:lang w:val="en-US"/>
        </w:rPr>
        <w:t>batteries</w:t>
      </w:r>
      <w:r w:rsidR="00B05264" w:rsidRPr="00B05264">
        <w:rPr>
          <w:rFonts w:cstheme="minorHAnsi"/>
          <w:bCs/>
        </w:rPr>
        <w:t xml:space="preserve">, </w:t>
      </w:r>
      <w:r w:rsidR="00B05264">
        <w:rPr>
          <w:rFonts w:cstheme="minorHAnsi"/>
          <w:bCs/>
          <w:lang w:val="en-US"/>
        </w:rPr>
        <w:t>jumping</w:t>
      </w:r>
      <w:r w:rsidR="00B05264" w:rsidRPr="00B05264">
        <w:rPr>
          <w:rFonts w:cstheme="minorHAnsi"/>
          <w:bCs/>
        </w:rPr>
        <w:t xml:space="preserve"> </w:t>
      </w:r>
      <w:r w:rsidR="00B05264">
        <w:rPr>
          <w:rFonts w:cstheme="minorHAnsi"/>
          <w:bCs/>
          <w:lang w:val="en-US"/>
        </w:rPr>
        <w:t>crackers</w:t>
      </w:r>
      <w:r w:rsidR="00B05264">
        <w:rPr>
          <w:rFonts w:cstheme="minorHAnsi"/>
          <w:bCs/>
        </w:rPr>
        <w:t>)</w:t>
      </w:r>
      <w:r w:rsidRPr="00CF4FD2">
        <w:rPr>
          <w:rFonts w:cstheme="minorHAnsi"/>
          <w:bCs/>
        </w:rPr>
        <w:t>, ενημερώστε αμέσως τις αστυνομικές αρχές.</w:t>
      </w:r>
    </w:p>
    <w:p w:rsidR="0076294F" w:rsidRPr="001560B5" w:rsidRDefault="001560B5" w:rsidP="00CF4FD2">
      <w:pPr>
        <w:ind w:left="-567"/>
        <w:jc w:val="both"/>
        <w:rPr>
          <w:rFonts w:cstheme="minorHAnsi"/>
          <w:bCs/>
        </w:rPr>
      </w:pPr>
      <w:r w:rsidRPr="001560B5">
        <w:rPr>
          <w:rFonts w:cstheme="minorHAnsi"/>
          <w:bCs/>
        </w:rPr>
        <w:t xml:space="preserve">Σε περίπτωση προβλήματος ασφαλείας με ένα </w:t>
      </w:r>
      <w:r>
        <w:rPr>
          <w:rFonts w:cstheme="minorHAnsi"/>
          <w:bCs/>
        </w:rPr>
        <w:t>είδος πυροτεχνίας σύμφωνα με τα παραπάνω</w:t>
      </w:r>
      <w:r w:rsidRPr="001560B5">
        <w:rPr>
          <w:rFonts w:cstheme="minorHAnsi"/>
          <w:bCs/>
        </w:rPr>
        <w:t xml:space="preserve">, μπορείτε να υποβάλλετε καταγγελία στην Γενική Διεύθυνση Βιομηχανίας &amp; Επιχειρηματικού Περιβάλλοντος της Γενικής Γραμματείας Βιομηχανίας, ακολουθώντας την προβλεπόμενη διαδικασία, διαθέσιμη στο σύνδεσμο </w:t>
      </w:r>
      <w:hyperlink r:id="rId9" w:history="1">
        <w:r w:rsidRPr="00417F0D">
          <w:rPr>
            <w:rStyle w:val="-"/>
            <w:rFonts w:cstheme="minorHAnsi"/>
            <w:bCs/>
          </w:rPr>
          <w:t>https://www.ggb.gr/el/complaints-management-system</w:t>
        </w:r>
      </w:hyperlink>
      <w:r>
        <w:rPr>
          <w:rFonts w:cstheme="minorHAnsi"/>
          <w:bCs/>
        </w:rPr>
        <w:t xml:space="preserve"> ή στο </w:t>
      </w:r>
      <w:r>
        <w:rPr>
          <w:rFonts w:cstheme="minorHAnsi"/>
          <w:bCs/>
          <w:lang w:val="en-US"/>
        </w:rPr>
        <w:t>email</w:t>
      </w:r>
      <w:r w:rsidRPr="001560B5">
        <w:rPr>
          <w:rFonts w:cstheme="minorHAnsi"/>
          <w:bCs/>
        </w:rPr>
        <w:t xml:space="preserve">: </w:t>
      </w:r>
      <w:hyperlink r:id="rId10" w:history="1">
        <w:r w:rsidRPr="00417F0D">
          <w:rPr>
            <w:rStyle w:val="-"/>
            <w:rFonts w:cstheme="minorHAnsi"/>
            <w:bCs/>
            <w:lang w:val="en-US"/>
          </w:rPr>
          <w:t>dasyp</w:t>
        </w:r>
        <w:r w:rsidRPr="00417F0D">
          <w:rPr>
            <w:rStyle w:val="-"/>
            <w:rFonts w:cstheme="minorHAnsi"/>
            <w:bCs/>
          </w:rPr>
          <w:t>@</w:t>
        </w:r>
        <w:proofErr w:type="spellStart"/>
        <w:r w:rsidRPr="00417F0D">
          <w:rPr>
            <w:rStyle w:val="-"/>
            <w:rFonts w:cstheme="minorHAnsi"/>
            <w:bCs/>
            <w:lang w:val="en-US"/>
          </w:rPr>
          <w:t>mindev</w:t>
        </w:r>
        <w:proofErr w:type="spellEnd"/>
        <w:r w:rsidRPr="00417F0D">
          <w:rPr>
            <w:rStyle w:val="-"/>
            <w:rFonts w:cstheme="minorHAnsi"/>
            <w:bCs/>
          </w:rPr>
          <w:t>.</w:t>
        </w:r>
        <w:proofErr w:type="spellStart"/>
        <w:r w:rsidRPr="00417F0D">
          <w:rPr>
            <w:rStyle w:val="-"/>
            <w:rFonts w:cstheme="minorHAnsi"/>
            <w:bCs/>
            <w:lang w:val="en-US"/>
          </w:rPr>
          <w:t>gov</w:t>
        </w:r>
        <w:proofErr w:type="spellEnd"/>
        <w:r w:rsidRPr="00417F0D">
          <w:rPr>
            <w:rStyle w:val="-"/>
            <w:rFonts w:cstheme="minorHAnsi"/>
            <w:bCs/>
          </w:rPr>
          <w:t>.</w:t>
        </w:r>
        <w:r w:rsidRPr="00417F0D">
          <w:rPr>
            <w:rStyle w:val="-"/>
            <w:rFonts w:cstheme="minorHAnsi"/>
            <w:bCs/>
            <w:lang w:val="en-US"/>
          </w:rPr>
          <w:t>gr</w:t>
        </w:r>
      </w:hyperlink>
      <w:r w:rsidRPr="001560B5">
        <w:rPr>
          <w:rFonts w:cstheme="minorHAnsi"/>
          <w:bCs/>
        </w:rPr>
        <w:t xml:space="preserve">. </w:t>
      </w:r>
    </w:p>
    <w:p w:rsidR="00CF4FD2" w:rsidRPr="00CF4FD2" w:rsidRDefault="00CF4FD2" w:rsidP="00CF4FD2">
      <w:pPr>
        <w:ind w:left="-567"/>
        <w:jc w:val="both"/>
        <w:rPr>
          <w:rFonts w:cstheme="minorHAnsi"/>
          <w:bCs/>
        </w:rPr>
      </w:pPr>
      <w:r w:rsidRPr="00CF4FD2">
        <w:rPr>
          <w:rFonts w:cstheme="minorHAnsi"/>
          <w:bCs/>
        </w:rPr>
        <w:t xml:space="preserve">Το Υπουργείο Ανάπτυξης, μέσω της Διεύθυνσης Ασφάλειας και Συμμόρφωσης Βιομηχανικών Προϊόντων, </w:t>
      </w:r>
      <w:r w:rsidR="0039222A">
        <w:rPr>
          <w:rFonts w:cstheme="minorHAnsi"/>
          <w:bCs/>
        </w:rPr>
        <w:t xml:space="preserve">συντονίζει </w:t>
      </w:r>
      <w:r w:rsidR="0076294F">
        <w:rPr>
          <w:rFonts w:cstheme="minorHAnsi"/>
          <w:bCs/>
        </w:rPr>
        <w:t>και</w:t>
      </w:r>
      <w:r w:rsidR="0039222A">
        <w:rPr>
          <w:rFonts w:cstheme="minorHAnsi"/>
          <w:bCs/>
        </w:rPr>
        <w:t xml:space="preserve"> διεν</w:t>
      </w:r>
      <w:r w:rsidR="0076294F">
        <w:rPr>
          <w:rFonts w:cstheme="minorHAnsi"/>
          <w:bCs/>
        </w:rPr>
        <w:t>ε</w:t>
      </w:r>
      <w:r w:rsidR="0039222A">
        <w:rPr>
          <w:rFonts w:cstheme="minorHAnsi"/>
          <w:bCs/>
        </w:rPr>
        <w:t>ργε</w:t>
      </w:r>
      <w:r w:rsidR="0076294F">
        <w:rPr>
          <w:rFonts w:cstheme="minorHAnsi"/>
          <w:bCs/>
        </w:rPr>
        <w:t>ί</w:t>
      </w:r>
      <w:r w:rsidR="0039222A">
        <w:rPr>
          <w:rFonts w:cstheme="minorHAnsi"/>
          <w:bCs/>
        </w:rPr>
        <w:t xml:space="preserve"> εντατικ</w:t>
      </w:r>
      <w:r w:rsidR="0076294F">
        <w:rPr>
          <w:rFonts w:cstheme="minorHAnsi"/>
          <w:bCs/>
        </w:rPr>
        <w:t>ούς</w:t>
      </w:r>
      <w:r w:rsidR="0039222A">
        <w:rPr>
          <w:rFonts w:cstheme="minorHAnsi"/>
          <w:bCs/>
        </w:rPr>
        <w:t xml:space="preserve"> ελέγχ</w:t>
      </w:r>
      <w:r w:rsidR="0076294F">
        <w:rPr>
          <w:rFonts w:cstheme="minorHAnsi"/>
          <w:bCs/>
        </w:rPr>
        <w:t>ους</w:t>
      </w:r>
      <w:r w:rsidRPr="00CF4FD2">
        <w:rPr>
          <w:rFonts w:cstheme="minorHAnsi"/>
          <w:bCs/>
        </w:rPr>
        <w:t xml:space="preserve"> στην αγορά για τη διασφάλιση της </w:t>
      </w:r>
      <w:r w:rsidR="00D5760A">
        <w:rPr>
          <w:rFonts w:cstheme="minorHAnsi"/>
          <w:bCs/>
        </w:rPr>
        <w:t xml:space="preserve">κυκλοφορίας στην αγορά μόνο </w:t>
      </w:r>
      <w:r w:rsidRPr="00CF4FD2">
        <w:rPr>
          <w:rFonts w:cstheme="minorHAnsi"/>
          <w:bCs/>
        </w:rPr>
        <w:t>προϊόντων</w:t>
      </w:r>
      <w:r w:rsidR="00D5760A">
        <w:rPr>
          <w:rFonts w:cstheme="minorHAnsi"/>
          <w:bCs/>
        </w:rPr>
        <w:t xml:space="preserve"> που συμμορφώνονται με τη νομοθεσία</w:t>
      </w:r>
      <w:r w:rsidRPr="00CF4FD2">
        <w:rPr>
          <w:rFonts w:cstheme="minorHAnsi"/>
          <w:bCs/>
        </w:rPr>
        <w:t>.</w:t>
      </w:r>
    </w:p>
    <w:p w:rsidR="00CF4FD2" w:rsidRDefault="00CF4FD2" w:rsidP="00584FC1">
      <w:pPr>
        <w:ind w:left="-567"/>
        <w:jc w:val="both"/>
        <w:rPr>
          <w:rFonts w:cstheme="minorHAnsi"/>
          <w:b/>
          <w:bCs/>
        </w:rPr>
      </w:pPr>
    </w:p>
    <w:p w:rsidR="00577AE2" w:rsidRPr="00577AE2" w:rsidRDefault="00577AE2" w:rsidP="00577AE2">
      <w:pPr>
        <w:ind w:left="-567"/>
        <w:jc w:val="center"/>
        <w:rPr>
          <w:rFonts w:cstheme="minorHAnsi"/>
          <w:bCs/>
        </w:rPr>
      </w:pPr>
      <w:r w:rsidRPr="00577AE2">
        <w:rPr>
          <w:rFonts w:cstheme="minorHAnsi"/>
          <w:bCs/>
        </w:rPr>
        <w:t>Η ασφάλεια όλων μας είναι προτεραιότητα. Ας γιορτάσουμε το Πάσχα με υπευθυνότητα.</w:t>
      </w:r>
    </w:p>
    <w:p w:rsidR="00577AE2" w:rsidRDefault="00577AE2" w:rsidP="00584FC1">
      <w:pPr>
        <w:ind w:left="-567"/>
        <w:jc w:val="both"/>
        <w:rPr>
          <w:rFonts w:cstheme="minorHAnsi"/>
          <w:b/>
          <w:bCs/>
        </w:rPr>
      </w:pPr>
    </w:p>
    <w:p w:rsidR="0076294F" w:rsidRPr="00B05264" w:rsidRDefault="00EE62B9" w:rsidP="0076294F">
      <w:pPr>
        <w:ind w:left="4320"/>
        <w:jc w:val="center"/>
      </w:pPr>
      <w:r w:rsidRPr="00B05264">
        <w:t xml:space="preserve">Ο </w:t>
      </w:r>
      <w:r w:rsidR="0076294F" w:rsidRPr="00B05264">
        <w:t xml:space="preserve">Αν. </w:t>
      </w:r>
      <w:r w:rsidRPr="00B05264">
        <w:t xml:space="preserve">Προϊστάμενος </w:t>
      </w:r>
      <w:bookmarkStart w:id="0" w:name="_GoBack"/>
      <w:bookmarkEnd w:id="0"/>
      <w:r w:rsidR="0076294F" w:rsidRPr="00B05264">
        <w:t xml:space="preserve">Γενικής </w:t>
      </w:r>
      <w:r w:rsidRPr="00B05264">
        <w:t>Διεύθυνσης</w:t>
      </w:r>
      <w:r w:rsidR="00295894" w:rsidRPr="00B05264">
        <w:t xml:space="preserve"> </w:t>
      </w:r>
      <w:r w:rsidR="0076294F" w:rsidRPr="00B05264">
        <w:t>Βιομηχανικών Υποδομών και Επιχειρηματικού Περιβάλλοντος</w:t>
      </w:r>
    </w:p>
    <w:p w:rsidR="00EE62B9" w:rsidRPr="00B05264" w:rsidRDefault="00EE62B9" w:rsidP="0076294F">
      <w:pPr>
        <w:ind w:left="4320"/>
        <w:jc w:val="center"/>
      </w:pPr>
    </w:p>
    <w:p w:rsidR="00EE62B9" w:rsidRDefault="00DD14FD" w:rsidP="00DD14FD">
      <w:pPr>
        <w:ind w:left="5040"/>
      </w:pPr>
      <w:r>
        <w:t xml:space="preserve">     </w:t>
      </w:r>
      <w:proofErr w:type="spellStart"/>
      <w:r w:rsidR="00EE62B9" w:rsidRPr="00B05264">
        <w:t>Δρ</w:t>
      </w:r>
      <w:proofErr w:type="spellEnd"/>
      <w:r w:rsidR="00EE62B9" w:rsidRPr="00B05264">
        <w:t xml:space="preserve"> Γεώργιος Δρόσος</w:t>
      </w:r>
    </w:p>
    <w:p w:rsidR="00EE62B9" w:rsidRDefault="00EE62B9" w:rsidP="00FB7B43">
      <w:pPr>
        <w:jc w:val="both"/>
      </w:pPr>
    </w:p>
    <w:sectPr w:rsidR="00EE62B9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C4F" w:rsidRDefault="00B41C4F" w:rsidP="00EE62B9">
      <w:pPr>
        <w:spacing w:after="0" w:line="240" w:lineRule="auto"/>
      </w:pPr>
      <w:r>
        <w:separator/>
      </w:r>
    </w:p>
  </w:endnote>
  <w:endnote w:type="continuationSeparator" w:id="0">
    <w:p w:rsidR="00B41C4F" w:rsidRDefault="00B41C4F" w:rsidP="00EE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,Bold">
    <w:altName w:val="Verdana"/>
    <w:charset w:val="00"/>
    <w:family w:val="auto"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2375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460" w:rsidRDefault="007D3460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4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4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3460" w:rsidRDefault="007D34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C4F" w:rsidRDefault="00B41C4F" w:rsidP="00EE62B9">
      <w:pPr>
        <w:spacing w:after="0" w:line="240" w:lineRule="auto"/>
      </w:pPr>
      <w:r>
        <w:separator/>
      </w:r>
    </w:p>
  </w:footnote>
  <w:footnote w:type="continuationSeparator" w:id="0">
    <w:p w:rsidR="00B41C4F" w:rsidRDefault="00B41C4F" w:rsidP="00EE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336"/>
    <w:multiLevelType w:val="multilevel"/>
    <w:tmpl w:val="FB32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4561"/>
    <w:multiLevelType w:val="hybridMultilevel"/>
    <w:tmpl w:val="CD26B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F89"/>
    <w:multiLevelType w:val="multilevel"/>
    <w:tmpl w:val="C9E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E6FD9"/>
    <w:multiLevelType w:val="hybridMultilevel"/>
    <w:tmpl w:val="F266DDEC"/>
    <w:lvl w:ilvl="0" w:tplc="C032F58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D8F1223"/>
    <w:multiLevelType w:val="multilevel"/>
    <w:tmpl w:val="F74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25488"/>
    <w:multiLevelType w:val="hybridMultilevel"/>
    <w:tmpl w:val="7DC44E34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06377D1"/>
    <w:multiLevelType w:val="multilevel"/>
    <w:tmpl w:val="B83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C56BA"/>
    <w:multiLevelType w:val="multilevel"/>
    <w:tmpl w:val="DCA6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46DC8"/>
    <w:multiLevelType w:val="hybridMultilevel"/>
    <w:tmpl w:val="C23AD7F2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D687488"/>
    <w:multiLevelType w:val="multilevel"/>
    <w:tmpl w:val="B7E8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67"/>
    <w:rsid w:val="0006689F"/>
    <w:rsid w:val="000B7EA3"/>
    <w:rsid w:val="000C6E22"/>
    <w:rsid w:val="001138EA"/>
    <w:rsid w:val="00151BC5"/>
    <w:rsid w:val="001560B5"/>
    <w:rsid w:val="0016325E"/>
    <w:rsid w:val="001F02A5"/>
    <w:rsid w:val="0028545A"/>
    <w:rsid w:val="00286E62"/>
    <w:rsid w:val="00295894"/>
    <w:rsid w:val="003164D4"/>
    <w:rsid w:val="00340680"/>
    <w:rsid w:val="0039222A"/>
    <w:rsid w:val="003D5706"/>
    <w:rsid w:val="0041382D"/>
    <w:rsid w:val="00432CB4"/>
    <w:rsid w:val="004A667E"/>
    <w:rsid w:val="004C225E"/>
    <w:rsid w:val="00524591"/>
    <w:rsid w:val="0056757F"/>
    <w:rsid w:val="00577AE2"/>
    <w:rsid w:val="00584FC1"/>
    <w:rsid w:val="005D4BB8"/>
    <w:rsid w:val="00682467"/>
    <w:rsid w:val="006E3B4C"/>
    <w:rsid w:val="00711316"/>
    <w:rsid w:val="0076294F"/>
    <w:rsid w:val="00797FC8"/>
    <w:rsid w:val="007C0DE7"/>
    <w:rsid w:val="007C4325"/>
    <w:rsid w:val="007D3460"/>
    <w:rsid w:val="007E19FE"/>
    <w:rsid w:val="008054EC"/>
    <w:rsid w:val="008313BB"/>
    <w:rsid w:val="008948AF"/>
    <w:rsid w:val="008B3502"/>
    <w:rsid w:val="008E26EA"/>
    <w:rsid w:val="00900185"/>
    <w:rsid w:val="009802CD"/>
    <w:rsid w:val="0099021C"/>
    <w:rsid w:val="00B05264"/>
    <w:rsid w:val="00B41C4F"/>
    <w:rsid w:val="00C14A3E"/>
    <w:rsid w:val="00CB6E8C"/>
    <w:rsid w:val="00CF4241"/>
    <w:rsid w:val="00CF4FD2"/>
    <w:rsid w:val="00CF73F2"/>
    <w:rsid w:val="00D15C10"/>
    <w:rsid w:val="00D5760A"/>
    <w:rsid w:val="00D76D26"/>
    <w:rsid w:val="00DB5B9D"/>
    <w:rsid w:val="00DD14FD"/>
    <w:rsid w:val="00DD5332"/>
    <w:rsid w:val="00EE62B9"/>
    <w:rsid w:val="00F738E1"/>
    <w:rsid w:val="00F9663C"/>
    <w:rsid w:val="00F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8821-2B9E-48D7-BE31-F2343F77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757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432C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E6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E62B9"/>
  </w:style>
  <w:style w:type="paragraph" w:styleId="a5">
    <w:name w:val="footer"/>
    <w:basedOn w:val="a"/>
    <w:link w:val="Char0"/>
    <w:uiPriority w:val="99"/>
    <w:unhideWhenUsed/>
    <w:rsid w:val="00EE6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E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syp@mindev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gb.gr/el/complaints-management-syste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664A-59FD-4B6D-95C4-D7F467F7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6430E7BE</Template>
  <TotalTime>1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Σωτηρία Τσαγκίρη</dc:creator>
  <cp:keywords/>
  <dc:description/>
  <cp:lastModifiedBy>Γεώργιος Δρόσος</cp:lastModifiedBy>
  <cp:revision>5</cp:revision>
  <dcterms:created xsi:type="dcterms:W3CDTF">2026-03-31T06:49:00Z</dcterms:created>
  <dcterms:modified xsi:type="dcterms:W3CDTF">2026-04-01T09:58:00Z</dcterms:modified>
</cp:coreProperties>
</file>