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FF" w:rsidRDefault="006922FF" w:rsidP="006922FF">
      <w:pPr>
        <w:shd w:val="clear" w:color="auto" w:fill="FFFFFF"/>
        <w:spacing w:before="150" w:after="150" w:line="360" w:lineRule="auto"/>
        <w:ind w:right="300"/>
        <w:rPr>
          <w:rFonts w:ascii="Tahoma" w:hAnsi="Tahoma" w:cs="Tahoma"/>
          <w:b/>
          <w:bCs/>
          <w:i/>
          <w:iCs/>
          <w:sz w:val="20"/>
          <w:szCs w:val="20"/>
          <w:u w:val="single"/>
        </w:rPr>
      </w:pPr>
      <w:r>
        <w:rPr>
          <w:rFonts w:ascii="Tahoma" w:hAnsi="Tahoma" w:cs="Tahoma"/>
          <w:b/>
          <w:bCs/>
          <w:i/>
          <w:iCs/>
          <w:sz w:val="20"/>
          <w:szCs w:val="20"/>
          <w:u w:val="single"/>
        </w:rPr>
        <w:t xml:space="preserve">“Τομεακό Πρόγραμμα Ανάπτυξης της Προγραμματικής Περιόδου 2021-2025 </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Το Τομεακό Πρόγραμμα Ανάπτυξης του Υπουργείου Ανάπτυξης και Επενδύσεων 2021-2025 (ΤΠΑ-ΥΠΑΝΕΠ 2021-2025 εφεξής) εξυπηρετεί τον κύριο στρατηγικό στόχο της στήριξης και της ανάπτυξης της επιχειρηματικότητας και της ενίσχυσης του μετασχηματισμού κυρίως του τομέα της μεταποίησης, με έμφαση στην ποιότητα των συντελεστών παραγωγής και λειτουργίας της, ώστε να αποτελέσει κινητήριο δύναμη της εξωστρεφούς οικονομικής ανάπτυξης και της απασχόλησης στη χώρα.</w:t>
      </w:r>
    </w:p>
    <w:p w:rsidR="006922FF" w:rsidRDefault="006922FF" w:rsidP="006922FF">
      <w:pPr>
        <w:shd w:val="clear" w:color="auto" w:fill="FFFFFF"/>
        <w:spacing w:before="75" w:after="75" w:line="360" w:lineRule="auto"/>
        <w:rPr>
          <w:rFonts w:ascii="Tahoma" w:hAnsi="Tahoma" w:cs="Tahoma"/>
          <w:i/>
          <w:iCs/>
          <w:sz w:val="20"/>
          <w:szCs w:val="20"/>
          <w:u w:val="single"/>
        </w:rPr>
      </w:pPr>
      <w:r>
        <w:rPr>
          <w:rFonts w:ascii="Tahoma" w:hAnsi="Tahoma" w:cs="Tahoma"/>
          <w:i/>
          <w:iCs/>
          <w:sz w:val="20"/>
          <w:szCs w:val="20"/>
          <w:u w:val="single"/>
        </w:rPr>
        <w:t>Προϋπολογισμός Προγράμματος</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Το ΤΠΑ-ΥΠΑΝΕΠ 2021-2025 έχει συνολικό προϋπολογισμό 885 εκ. και αποτελείται από τέσσερα υποπρογράμματα ανά τομέα πολιτικής.  Πιο συγκεκριμένα, είναι το Υποπρόγραμμα Α: Ενίσχυση επιχειρηματικότητας / δημιουργία φιλικού επιχειρηματικού περιβάλλοντος, Υποπρόγραμμα Β: Ενίσχυση της βιομηχανίας, Υποπρόγραμμα Γ: Ενίσχυση της έρευνας και τεχνολογίας, Υποπρόγραμμα Δ: Στήριξη του εμπορίου και προστασία καταναλωτή, Υποπρόγραμμα ΣΤ: Υποστήριξη προγράμματος.</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u w:val="single"/>
        </w:rPr>
        <w:t>Διάρθρωση Προγράμματος</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 xml:space="preserve">Πιο συγκεκριμένα, μέσω του υποπρογράμματος Α για την ενίσχυση της επιχειρηματικότητας, χρηματοδοτούνται οι ιδιωτικές επενδύσεις, με την εφαρμογή καθεστώτων ενισχύσεων ιδιωτικών επενδύσεων για την περιφερειακή και οικονομική ανάπτυξη της χώρας (αναπτυξιακοί νόμοι).  Τα παρεχόμενα κίνητρα περιλαμβάνουν κυρίως επιχορήγηση παγίων, φορολογική απαλλαγή, επιδότηση χρηματοδοτικής μίσθωσης, επιδότηση κόστους δημιουργούμενης απασχόλησης, χρηματοδοτικά εργαλεία και ταχεία </w:t>
      </w:r>
      <w:proofErr w:type="spellStart"/>
      <w:r>
        <w:rPr>
          <w:rFonts w:ascii="Tahoma" w:hAnsi="Tahoma" w:cs="Tahoma"/>
          <w:i/>
          <w:iCs/>
          <w:sz w:val="20"/>
          <w:szCs w:val="20"/>
        </w:rPr>
        <w:t>αδειοδότηση</w:t>
      </w:r>
      <w:proofErr w:type="spellEnd"/>
      <w:r>
        <w:rPr>
          <w:rFonts w:ascii="Tahoma" w:hAnsi="Tahoma" w:cs="Tahoma"/>
          <w:i/>
          <w:iCs/>
          <w:sz w:val="20"/>
          <w:szCs w:val="20"/>
        </w:rPr>
        <w:t>.  Για πρώτη φορά, επίσης, θα χρηματοδοτηθούν καθεστώτα προσέλκυσης άμεσων ξένων επενδύσεων. Τέλος, σημαντικό ρόλο έχουν οι ΣΔΙΤ αξιοποιώντας την τεχνογνωσία και την αποτελεσματικότητα του ιδιωτικού τομέα, ενώ παράλληλα το Δημόσιο διατηρεί ισχυρό εποπτικό ρόλο.</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Το Υποπρόγραμμα Β για την Βιομηχανία αφορά κατά κύριο λόγο τις ενισχύσεις των ιδιωτικών επενδύσεων που παρέχονται κατ’ εφαρμογή των αναπτυξιακών νόμων αντικατοπτρίζοντας το αυξημένο ενδιαφέρον για την ενίσχυση των ιδιωτικών επενδύσεων. Επιπλέον, προβλέπεται η ανάληψη νέων επενδυτικών πρωτοβουλιών για την υποστήριξη και την προσαρμογή των ΜΜΕ στις ανάγκες / προοπτικές της Βιομηχανίας 4.0, ανάπτυξη ικανοτήτων, αξιοποίηση ανθρώπινου δυναμικού, και τεχνική βοήθεια για την βελτίωση της λειτουργίας της Γενικής Γραμματείας βιομηχανίας και εποπτευόμενων φορέων ως προς την ανταπόκριση στις προκλήσεις του έτους 2030.</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 xml:space="preserve">Οι πόροι του Υποπρογράμματος Γ για τον τομέα της Έρευνας και Καινοτομίας καλύπτουν δράσεις υποστήριξης δραστηριοτήτων της ΓΓΕΚ (πέραν των λειτουργικών της αναγκών), όπως η αξιολόγηση των ερευνητικών ιδρυμάτων και η υποστήριξη της λειτουργίας του Εθνικού </w:t>
      </w:r>
      <w:r>
        <w:rPr>
          <w:rFonts w:ascii="Tahoma" w:hAnsi="Tahoma" w:cs="Tahoma"/>
          <w:i/>
          <w:iCs/>
          <w:sz w:val="20"/>
          <w:szCs w:val="20"/>
        </w:rPr>
        <w:lastRenderedPageBreak/>
        <w:t xml:space="preserve">Συμβουλίου Έρευνας, Τεχνολογίας και Καινοτομίας και των Τομεακών Επιστημονικών Συμβουλίων, καθώς και δράσεις υποστήριξης των ερευνητικών ιδρυμάτων και των ΑΕΙ, όπως η αναβάθμιση των υποδομών των Ε.Ι. και οι εμβληματικές δράσεις στην </w:t>
      </w:r>
      <w:proofErr w:type="spellStart"/>
      <w:r>
        <w:rPr>
          <w:rFonts w:ascii="Tahoma" w:hAnsi="Tahoma" w:cs="Tahoma"/>
          <w:i/>
          <w:iCs/>
          <w:sz w:val="20"/>
          <w:szCs w:val="20"/>
        </w:rPr>
        <w:t>αγροδιατροφή</w:t>
      </w:r>
      <w:proofErr w:type="spellEnd"/>
      <w:r>
        <w:rPr>
          <w:rFonts w:ascii="Tahoma" w:hAnsi="Tahoma" w:cs="Tahoma"/>
          <w:i/>
          <w:iCs/>
          <w:sz w:val="20"/>
          <w:szCs w:val="20"/>
        </w:rPr>
        <w:t>, την ιατρική ακριβείας και την κλιματική αλλαγή.</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Με το Υποπρόγραμμα Δ ενισχύεται ο τομέας εμπορίου και προστασίας καταναλωτή και περιλαμβάνει δράσεις υποστήριξης ομαλής λειτουργίας του εμπορίου (επιχειρήσεων και καταναλωτών) εν μέσω της τρέχουσας συγκυρίας που επέφερε η αντιμετώπιση της πανδημίας.  Παράλληλα, ενισχύεται με δράσεις αντιμετώπισης επίμονων δομικών αδυναμιών της αγοράς με στόχο τη βιώσιμη ανάπτυξη και την ενίσχυση της ανθεκτικότητάς της.</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Για την τεχνική και διοικητική υποστήριξη υπάρχει ξεχωριστό υποπρόγραμμα.</w:t>
      </w:r>
    </w:p>
    <w:p w:rsidR="006922FF" w:rsidRDefault="006922FF" w:rsidP="006922FF">
      <w:pPr>
        <w:shd w:val="clear" w:color="auto" w:fill="FFFFFF"/>
        <w:spacing w:before="75" w:after="75" w:line="360" w:lineRule="auto"/>
        <w:rPr>
          <w:rFonts w:ascii="Tahoma" w:hAnsi="Tahoma" w:cs="Tahoma"/>
          <w:i/>
          <w:iCs/>
          <w:sz w:val="20"/>
          <w:szCs w:val="20"/>
          <w:u w:val="single"/>
        </w:rPr>
      </w:pPr>
      <w:r>
        <w:rPr>
          <w:rFonts w:ascii="Tahoma" w:hAnsi="Tahoma" w:cs="Tahoma"/>
          <w:i/>
          <w:iCs/>
          <w:sz w:val="20"/>
          <w:szCs w:val="20"/>
          <w:u w:val="single"/>
        </w:rPr>
        <w:t>Υπηρεσία Διαχείρισης Προγράμματος</w:t>
      </w:r>
    </w:p>
    <w:p w:rsidR="006922FF" w:rsidRDefault="006922FF" w:rsidP="006922FF">
      <w:pPr>
        <w:shd w:val="clear" w:color="auto" w:fill="FFFFFF"/>
        <w:spacing w:before="75" w:after="75" w:line="360" w:lineRule="auto"/>
        <w:rPr>
          <w:rFonts w:ascii="Tahoma" w:hAnsi="Tahoma" w:cs="Tahoma"/>
          <w:i/>
          <w:iCs/>
          <w:sz w:val="20"/>
          <w:szCs w:val="20"/>
        </w:rPr>
      </w:pPr>
      <w:r>
        <w:rPr>
          <w:rFonts w:ascii="Tahoma" w:hAnsi="Tahoma" w:cs="Tahoma"/>
          <w:i/>
          <w:iCs/>
          <w:sz w:val="20"/>
          <w:szCs w:val="20"/>
        </w:rPr>
        <w:t>Η Διεύθυνση Διαχείρισης Εθνικού Προγράμματος Δημοσίων Επενδύσεων του Υπουργείου Ανάπτυξης και Επενδύσεων θα διασφαλίζει ότι οι δράσεις του ΤΠΑ-ΥΠΑΝΕΠ 2021-2025 (επενδύσεις, ενισχύσεις, εκσυγχρονισμοί κ.ά., όπως προκύπτουν από τους προαναφερθέντες ειδικούς στόχους) θα υλοποιηθούν με βάση το οικείο Σύστημα Διαχείρισης και Ελέγχου και με επαρκή περιβαλλοντική συμβατότητα.  Επίσης, η Διεύθυνση Διαχείρισης Εθνικού Προγράμματος Δημοσίων Επενδύσεων θα παρακολουθεί την εξέλιξη του φυσικού και οικονομικού αντικειμένου των έργων, καθώς και τις σημαντικές επιπτώσεις στο περιβάλλον από την εφαρμογή του ΤΠΑ-ΥΠΑΝΕΠ 2021-2025, σε στενή συνεργασία με τις αρμόδιες Γενικές Γραμματείες, στηρίζοντας τους Τελικούς Δικαιούχους και τους εποπτευόμενους Φορείς Υλοποίησης.  Η ανωτέρω αναφερόμενη διαχείριση θα γίνεται με τη συλλογή και επεξεργασία κατάλληλων στοιχείων που θα καταγράφονται κατά την παρακολούθηση υλοποίησης του προγράμματος στο Πληροφοριακό Σύστημα και κάθε άλλο πρόσφορο μέσο.”</w:t>
      </w:r>
    </w:p>
    <w:p w:rsidR="00001239" w:rsidRDefault="00001239">
      <w:bookmarkStart w:id="0" w:name="_GoBack"/>
      <w:bookmarkEnd w:id="0"/>
    </w:p>
    <w:sectPr w:rsidR="000012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FF"/>
    <w:rsid w:val="00001239"/>
    <w:rsid w:val="00692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FF"/>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FF"/>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3729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Μαρινοπούλου, Αντιγόνη</dc:creator>
  <cp:lastModifiedBy>Μαρινοπούλου, Αντιγόνη</cp:lastModifiedBy>
  <cp:revision>1</cp:revision>
  <dcterms:created xsi:type="dcterms:W3CDTF">2021-09-27T13:03:00Z</dcterms:created>
  <dcterms:modified xsi:type="dcterms:W3CDTF">2021-09-27T13:04:00Z</dcterms:modified>
</cp:coreProperties>
</file>